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743" w:rsidRDefault="00541FB3" w:rsidP="00541FB3">
      <w:pPr>
        <w:jc w:val="center"/>
        <w:rPr>
          <w:rFonts w:asciiTheme="majorHAnsi" w:hAnsiTheme="majorHAnsi"/>
          <w:b/>
        </w:rPr>
      </w:pPr>
      <w:bookmarkStart w:id="0" w:name="_GoBack"/>
      <w:bookmarkEnd w:id="0"/>
      <w:proofErr w:type="gramStart"/>
      <w:r w:rsidRPr="00541FB3">
        <w:rPr>
          <w:rFonts w:asciiTheme="majorHAnsi" w:hAnsiTheme="majorHAnsi"/>
          <w:b/>
        </w:rPr>
        <w:t>sPHENIX</w:t>
      </w:r>
      <w:proofErr w:type="gramEnd"/>
      <w:r w:rsidRPr="00541FB3">
        <w:rPr>
          <w:rFonts w:asciiTheme="majorHAnsi" w:hAnsiTheme="majorHAnsi"/>
          <w:b/>
        </w:rPr>
        <w:t xml:space="preserve"> MIE Variance Report</w:t>
      </w:r>
      <w:r w:rsidRPr="00541FB3">
        <w:rPr>
          <w:rFonts w:asciiTheme="majorHAnsi" w:hAnsiTheme="majorHAnsi"/>
          <w:b/>
        </w:rPr>
        <w:tab/>
        <w:t>2/28/2021</w:t>
      </w:r>
    </w:p>
    <w:p w:rsidR="00541FB3" w:rsidRDefault="00541FB3" w:rsidP="00541FB3">
      <w:pPr>
        <w:jc w:val="center"/>
        <w:rPr>
          <w:rFonts w:asciiTheme="majorHAnsi" w:hAnsiTheme="majorHAnsi"/>
          <w:b/>
        </w:rPr>
      </w:pPr>
    </w:p>
    <w:tbl>
      <w:tblPr>
        <w:tblW w:w="5286" w:type="pct"/>
        <w:tblCellSpacing w:w="15" w:type="dxa"/>
        <w:tblCellMar>
          <w:top w:w="15" w:type="dxa"/>
          <w:left w:w="15" w:type="dxa"/>
          <w:bottom w:w="15" w:type="dxa"/>
          <w:right w:w="15" w:type="dxa"/>
        </w:tblCellMar>
        <w:tblLook w:val="04A0" w:firstRow="1" w:lastRow="0" w:firstColumn="1" w:lastColumn="0" w:noHBand="0" w:noVBand="1"/>
      </w:tblPr>
      <w:tblGrid>
        <w:gridCol w:w="5029"/>
        <w:gridCol w:w="4200"/>
      </w:tblGrid>
      <w:tr w:rsidR="00541FB3" w:rsidRPr="00541FB3" w:rsidTr="00541FB3">
        <w:trPr>
          <w:trHeight w:val="293"/>
          <w:tblCellSpacing w:w="15" w:type="dxa"/>
        </w:trPr>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WBS 1</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b/>
                <w:bCs/>
                <w:sz w:val="20"/>
                <w:szCs w:val="20"/>
              </w:rPr>
              <w:t>Reporting Period:</w:t>
            </w:r>
            <w:r w:rsidRPr="00541FB3">
              <w:rPr>
                <w:rFonts w:ascii="Times" w:eastAsia="Times New Roman" w:hAnsi="Times" w:cs="Times New Roman"/>
                <w:sz w:val="20"/>
                <w:szCs w:val="20"/>
              </w:rPr>
              <w:t>  2/1/2021 - 2/28/2021</w:t>
            </w:r>
          </w:p>
        </w:tc>
      </w:tr>
      <w:tr w:rsidR="00541FB3" w:rsidRPr="00541FB3" w:rsidTr="00541FB3">
        <w:trPr>
          <w:trHeight w:val="248"/>
          <w:tblCellSpacing w:w="15" w:type="dxa"/>
        </w:trPr>
        <w:tc>
          <w:tcPr>
            <w:tcW w:w="0" w:type="auto"/>
            <w:vAlign w:val="center"/>
            <w:hideMark/>
          </w:tcPr>
          <w:p w:rsidR="00541FB3" w:rsidRPr="00541FB3" w:rsidRDefault="00541FB3" w:rsidP="00541FB3">
            <w:pPr>
              <w:rPr>
                <w:rFonts w:ascii="Times" w:eastAsia="Times New Roman" w:hAnsi="Times" w:cs="Times New Roman"/>
                <w:sz w:val="20"/>
                <w:szCs w:val="20"/>
              </w:rPr>
            </w:pPr>
            <w:proofErr w:type="gramStart"/>
            <w:r w:rsidRPr="00541FB3">
              <w:rPr>
                <w:rFonts w:ascii="Times" w:eastAsia="Times New Roman" w:hAnsi="Times" w:cs="Times New Roman"/>
                <w:sz w:val="20"/>
                <w:szCs w:val="20"/>
              </w:rPr>
              <w:t>sPHENIX</w:t>
            </w:r>
            <w:proofErr w:type="gramEnd"/>
            <w:r w:rsidRPr="00541FB3">
              <w:rPr>
                <w:rFonts w:ascii="Times" w:eastAsia="Times New Roman" w:hAnsi="Times" w:cs="Times New Roman"/>
                <w:sz w:val="20"/>
                <w:szCs w:val="20"/>
              </w:rPr>
              <w:t xml:space="preserve"> MIE Project (Edward O'Brien [18368])</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p>
        </w:tc>
      </w:tr>
    </w:tbl>
    <w:p w:rsidR="00541FB3" w:rsidRPr="00541FB3" w:rsidRDefault="00541FB3" w:rsidP="00541FB3">
      <w:pPr>
        <w:rPr>
          <w:rFonts w:ascii="Times" w:eastAsia="Times New Roman" w:hAnsi="Times" w:cs="Times New Roman"/>
          <w:sz w:val="20"/>
          <w:szCs w:val="20"/>
        </w:rPr>
      </w:pPr>
    </w:p>
    <w:tbl>
      <w:tblPr>
        <w:tblW w:w="5486" w:type="pct"/>
        <w:tblCellSpacing w:w="100" w:type="dxa"/>
        <w:tblCellMar>
          <w:top w:w="15" w:type="dxa"/>
          <w:left w:w="15" w:type="dxa"/>
          <w:bottom w:w="15" w:type="dxa"/>
          <w:right w:w="15" w:type="dxa"/>
        </w:tblCellMar>
        <w:tblLook w:val="04A0" w:firstRow="1" w:lastRow="0" w:firstColumn="1" w:lastColumn="0" w:noHBand="0" w:noVBand="1"/>
      </w:tblPr>
      <w:tblGrid>
        <w:gridCol w:w="1498"/>
        <w:gridCol w:w="1144"/>
        <w:gridCol w:w="1144"/>
        <w:gridCol w:w="1144"/>
        <w:gridCol w:w="1111"/>
        <w:gridCol w:w="964"/>
        <w:gridCol w:w="897"/>
        <w:gridCol w:w="778"/>
        <w:gridCol w:w="586"/>
        <w:gridCol w:w="686"/>
      </w:tblGrid>
      <w:tr w:rsidR="00541FB3" w:rsidRPr="00541FB3" w:rsidTr="00541FB3">
        <w:trPr>
          <w:trHeight w:val="749"/>
          <w:tblCellSpacing w:w="100" w:type="dxa"/>
        </w:trPr>
        <w:tc>
          <w:tcPr>
            <w:tcW w:w="0" w:type="auto"/>
            <w:vAlign w:val="center"/>
            <w:hideMark/>
          </w:tcPr>
          <w:p w:rsidR="00541FB3" w:rsidRPr="00541FB3" w:rsidRDefault="00541FB3" w:rsidP="00541FB3">
            <w:pPr>
              <w:jc w:val="center"/>
              <w:rPr>
                <w:rFonts w:ascii="Times" w:eastAsia="Times New Roman" w:hAnsi="Times" w:cs="Times New Roman"/>
                <w:b/>
                <w:bCs/>
                <w:sz w:val="20"/>
                <w:szCs w:val="20"/>
              </w:rPr>
            </w:pPr>
            <w:r w:rsidRPr="00541FB3">
              <w:rPr>
                <w:rFonts w:ascii="Times" w:eastAsia="Times New Roman" w:hAnsi="Times" w:cs="Times New Roman"/>
                <w:b/>
                <w:bCs/>
                <w:sz w:val="20"/>
                <w:szCs w:val="20"/>
              </w:rPr>
              <w:t xml:space="preserve">  </w:t>
            </w:r>
          </w:p>
        </w:tc>
        <w:tc>
          <w:tcPr>
            <w:tcW w:w="0" w:type="auto"/>
            <w:vAlign w:val="center"/>
            <w:hideMark/>
          </w:tcPr>
          <w:p w:rsidR="00541FB3" w:rsidRPr="00541FB3" w:rsidRDefault="00541FB3" w:rsidP="00541FB3">
            <w:pPr>
              <w:jc w:val="right"/>
              <w:rPr>
                <w:rFonts w:ascii="Times" w:eastAsia="Times New Roman" w:hAnsi="Times" w:cs="Times New Roman"/>
                <w:b/>
                <w:bCs/>
                <w:sz w:val="20"/>
                <w:szCs w:val="20"/>
              </w:rPr>
            </w:pPr>
            <w:r w:rsidRPr="00541FB3">
              <w:rPr>
                <w:rFonts w:ascii="Times" w:eastAsia="Times New Roman" w:hAnsi="Times" w:cs="Times New Roman"/>
                <w:b/>
                <w:bCs/>
                <w:sz w:val="20"/>
                <w:szCs w:val="20"/>
              </w:rPr>
              <w:t>BCWS</w:t>
            </w:r>
          </w:p>
        </w:tc>
        <w:tc>
          <w:tcPr>
            <w:tcW w:w="0" w:type="auto"/>
            <w:vAlign w:val="center"/>
            <w:hideMark/>
          </w:tcPr>
          <w:p w:rsidR="00541FB3" w:rsidRPr="00541FB3" w:rsidRDefault="00541FB3" w:rsidP="00541FB3">
            <w:pPr>
              <w:jc w:val="right"/>
              <w:rPr>
                <w:rFonts w:ascii="Times" w:eastAsia="Times New Roman" w:hAnsi="Times" w:cs="Times New Roman"/>
                <w:b/>
                <w:bCs/>
                <w:sz w:val="20"/>
                <w:szCs w:val="20"/>
              </w:rPr>
            </w:pPr>
            <w:r w:rsidRPr="00541FB3">
              <w:rPr>
                <w:rFonts w:ascii="Times" w:eastAsia="Times New Roman" w:hAnsi="Times" w:cs="Times New Roman"/>
                <w:b/>
                <w:bCs/>
                <w:sz w:val="20"/>
                <w:szCs w:val="20"/>
              </w:rPr>
              <w:t>BCWP</w:t>
            </w:r>
          </w:p>
        </w:tc>
        <w:tc>
          <w:tcPr>
            <w:tcW w:w="0" w:type="auto"/>
            <w:vAlign w:val="center"/>
            <w:hideMark/>
          </w:tcPr>
          <w:p w:rsidR="00541FB3" w:rsidRPr="00541FB3" w:rsidRDefault="00541FB3" w:rsidP="00541FB3">
            <w:pPr>
              <w:jc w:val="right"/>
              <w:rPr>
                <w:rFonts w:ascii="Times" w:eastAsia="Times New Roman" w:hAnsi="Times" w:cs="Times New Roman"/>
                <w:b/>
                <w:bCs/>
                <w:sz w:val="20"/>
                <w:szCs w:val="20"/>
              </w:rPr>
            </w:pPr>
            <w:r w:rsidRPr="00541FB3">
              <w:rPr>
                <w:rFonts w:ascii="Times" w:eastAsia="Times New Roman" w:hAnsi="Times" w:cs="Times New Roman"/>
                <w:b/>
                <w:bCs/>
                <w:sz w:val="20"/>
                <w:szCs w:val="20"/>
              </w:rPr>
              <w:t>ACWP</w:t>
            </w:r>
          </w:p>
        </w:tc>
        <w:tc>
          <w:tcPr>
            <w:tcW w:w="0" w:type="auto"/>
            <w:vAlign w:val="center"/>
            <w:hideMark/>
          </w:tcPr>
          <w:p w:rsidR="00541FB3" w:rsidRPr="00541FB3" w:rsidRDefault="00541FB3" w:rsidP="00541FB3">
            <w:pPr>
              <w:jc w:val="right"/>
              <w:rPr>
                <w:rFonts w:ascii="Times" w:eastAsia="Times New Roman" w:hAnsi="Times" w:cs="Times New Roman"/>
                <w:b/>
                <w:bCs/>
                <w:sz w:val="20"/>
                <w:szCs w:val="20"/>
              </w:rPr>
            </w:pPr>
            <w:r w:rsidRPr="00541FB3">
              <w:rPr>
                <w:rFonts w:ascii="Times" w:eastAsia="Times New Roman" w:hAnsi="Times" w:cs="Times New Roman"/>
                <w:b/>
                <w:bCs/>
                <w:sz w:val="20"/>
                <w:szCs w:val="20"/>
              </w:rPr>
              <w:t>SV in $</w:t>
            </w:r>
          </w:p>
        </w:tc>
        <w:tc>
          <w:tcPr>
            <w:tcW w:w="0" w:type="auto"/>
            <w:vAlign w:val="center"/>
            <w:hideMark/>
          </w:tcPr>
          <w:p w:rsidR="00541FB3" w:rsidRPr="00541FB3" w:rsidRDefault="00541FB3" w:rsidP="00541FB3">
            <w:pPr>
              <w:jc w:val="right"/>
              <w:rPr>
                <w:rFonts w:ascii="Times" w:eastAsia="Times New Roman" w:hAnsi="Times" w:cs="Times New Roman"/>
                <w:b/>
                <w:bCs/>
                <w:sz w:val="20"/>
                <w:szCs w:val="20"/>
              </w:rPr>
            </w:pPr>
            <w:r w:rsidRPr="00541FB3">
              <w:rPr>
                <w:rFonts w:ascii="Times" w:eastAsia="Times New Roman" w:hAnsi="Times" w:cs="Times New Roman"/>
                <w:b/>
                <w:bCs/>
                <w:sz w:val="20"/>
                <w:szCs w:val="20"/>
              </w:rPr>
              <w:t>SV in %</w:t>
            </w:r>
          </w:p>
        </w:tc>
        <w:tc>
          <w:tcPr>
            <w:tcW w:w="0" w:type="auto"/>
            <w:vAlign w:val="center"/>
            <w:hideMark/>
          </w:tcPr>
          <w:p w:rsidR="00541FB3" w:rsidRPr="00541FB3" w:rsidRDefault="00541FB3" w:rsidP="00541FB3">
            <w:pPr>
              <w:jc w:val="right"/>
              <w:rPr>
                <w:rFonts w:ascii="Times" w:eastAsia="Times New Roman" w:hAnsi="Times" w:cs="Times New Roman"/>
                <w:b/>
                <w:bCs/>
                <w:sz w:val="20"/>
                <w:szCs w:val="20"/>
              </w:rPr>
            </w:pPr>
            <w:r w:rsidRPr="00541FB3">
              <w:rPr>
                <w:rFonts w:ascii="Times" w:eastAsia="Times New Roman" w:hAnsi="Times" w:cs="Times New Roman"/>
                <w:b/>
                <w:bCs/>
                <w:sz w:val="20"/>
                <w:szCs w:val="20"/>
              </w:rPr>
              <w:t>CV in $</w:t>
            </w:r>
          </w:p>
        </w:tc>
        <w:tc>
          <w:tcPr>
            <w:tcW w:w="0" w:type="auto"/>
            <w:vAlign w:val="center"/>
            <w:hideMark/>
          </w:tcPr>
          <w:p w:rsidR="00541FB3" w:rsidRPr="00541FB3" w:rsidRDefault="00541FB3" w:rsidP="00541FB3">
            <w:pPr>
              <w:jc w:val="right"/>
              <w:rPr>
                <w:rFonts w:ascii="Times" w:eastAsia="Times New Roman" w:hAnsi="Times" w:cs="Times New Roman"/>
                <w:b/>
                <w:bCs/>
                <w:sz w:val="20"/>
                <w:szCs w:val="20"/>
              </w:rPr>
            </w:pPr>
            <w:r w:rsidRPr="00541FB3">
              <w:rPr>
                <w:rFonts w:ascii="Times" w:eastAsia="Times New Roman" w:hAnsi="Times" w:cs="Times New Roman"/>
                <w:b/>
                <w:bCs/>
                <w:sz w:val="20"/>
                <w:szCs w:val="20"/>
              </w:rPr>
              <w:t>CV %</w:t>
            </w:r>
          </w:p>
        </w:tc>
        <w:tc>
          <w:tcPr>
            <w:tcW w:w="0" w:type="auto"/>
            <w:vAlign w:val="center"/>
            <w:hideMark/>
          </w:tcPr>
          <w:p w:rsidR="00541FB3" w:rsidRPr="00541FB3" w:rsidRDefault="00541FB3" w:rsidP="00541FB3">
            <w:pPr>
              <w:jc w:val="right"/>
              <w:rPr>
                <w:rFonts w:ascii="Times" w:eastAsia="Times New Roman" w:hAnsi="Times" w:cs="Times New Roman"/>
                <w:b/>
                <w:bCs/>
                <w:sz w:val="20"/>
                <w:szCs w:val="20"/>
              </w:rPr>
            </w:pPr>
            <w:r w:rsidRPr="00541FB3">
              <w:rPr>
                <w:rFonts w:ascii="Times" w:eastAsia="Times New Roman" w:hAnsi="Times" w:cs="Times New Roman"/>
                <w:b/>
                <w:bCs/>
                <w:sz w:val="20"/>
                <w:szCs w:val="20"/>
              </w:rPr>
              <w:t>SPI</w:t>
            </w:r>
          </w:p>
        </w:tc>
        <w:tc>
          <w:tcPr>
            <w:tcW w:w="0" w:type="auto"/>
            <w:vAlign w:val="center"/>
            <w:hideMark/>
          </w:tcPr>
          <w:p w:rsidR="00541FB3" w:rsidRPr="00541FB3" w:rsidRDefault="00541FB3" w:rsidP="00541FB3">
            <w:pPr>
              <w:jc w:val="right"/>
              <w:rPr>
                <w:rFonts w:ascii="Times" w:eastAsia="Times New Roman" w:hAnsi="Times" w:cs="Times New Roman"/>
                <w:b/>
                <w:bCs/>
                <w:sz w:val="20"/>
                <w:szCs w:val="20"/>
              </w:rPr>
            </w:pPr>
            <w:r w:rsidRPr="00541FB3">
              <w:rPr>
                <w:rFonts w:ascii="Times" w:eastAsia="Times New Roman" w:hAnsi="Times" w:cs="Times New Roman"/>
                <w:b/>
                <w:bCs/>
                <w:sz w:val="20"/>
                <w:szCs w:val="20"/>
              </w:rPr>
              <w:t>CPI</w:t>
            </w:r>
          </w:p>
        </w:tc>
      </w:tr>
      <w:tr w:rsidR="00541FB3" w:rsidRPr="00541FB3" w:rsidTr="00541FB3">
        <w:trPr>
          <w:trHeight w:val="499"/>
          <w:tblCellSpacing w:w="100" w:type="dxa"/>
        </w:trPr>
        <w:tc>
          <w:tcPr>
            <w:tcW w:w="0" w:type="auto"/>
            <w:vAlign w:val="center"/>
            <w:hideMark/>
          </w:tcPr>
          <w:p w:rsidR="00541FB3" w:rsidRPr="00541FB3" w:rsidRDefault="00541FB3" w:rsidP="00541FB3">
            <w:pPr>
              <w:rPr>
                <w:rFonts w:ascii="Times" w:eastAsia="Times New Roman" w:hAnsi="Times" w:cs="Times New Roman"/>
                <w:b/>
                <w:bCs/>
                <w:sz w:val="20"/>
                <w:szCs w:val="20"/>
              </w:rPr>
            </w:pPr>
            <w:r w:rsidRPr="00541FB3">
              <w:rPr>
                <w:rFonts w:ascii="Times" w:eastAsia="Times New Roman" w:hAnsi="Times" w:cs="Times New Roman"/>
                <w:b/>
                <w:bCs/>
                <w:sz w:val="20"/>
                <w:szCs w:val="20"/>
              </w:rPr>
              <w:t>Current:</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sz w:val="20"/>
                <w:szCs w:val="20"/>
              </w:rPr>
              <w:t>583,799</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sz w:val="20"/>
                <w:szCs w:val="20"/>
              </w:rPr>
              <w:t>733,976</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sz w:val="20"/>
                <w:szCs w:val="20"/>
              </w:rPr>
              <w:t>601,918</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color w:val="000000"/>
                <w:sz w:val="20"/>
                <w:szCs w:val="20"/>
              </w:rPr>
              <w:t>150,177</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color w:val="000000"/>
                <w:sz w:val="20"/>
                <w:szCs w:val="20"/>
              </w:rPr>
              <w:t>26%</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color w:val="000000"/>
                <w:sz w:val="20"/>
                <w:szCs w:val="20"/>
              </w:rPr>
              <w:t>132,058</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color w:val="000000"/>
                <w:sz w:val="20"/>
                <w:szCs w:val="20"/>
              </w:rPr>
              <w:t>18%</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sz w:val="20"/>
                <w:szCs w:val="20"/>
              </w:rPr>
              <w:t>1.26</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sz w:val="20"/>
                <w:szCs w:val="20"/>
              </w:rPr>
              <w:t>1.22</w:t>
            </w:r>
          </w:p>
        </w:tc>
      </w:tr>
      <w:tr w:rsidR="00541FB3" w:rsidRPr="00541FB3" w:rsidTr="00541FB3">
        <w:trPr>
          <w:trHeight w:val="729"/>
          <w:tblCellSpacing w:w="100" w:type="dxa"/>
        </w:trPr>
        <w:tc>
          <w:tcPr>
            <w:tcW w:w="0" w:type="auto"/>
            <w:vAlign w:val="center"/>
            <w:hideMark/>
          </w:tcPr>
          <w:p w:rsidR="00541FB3" w:rsidRPr="00541FB3" w:rsidRDefault="00541FB3" w:rsidP="00541FB3">
            <w:pPr>
              <w:rPr>
                <w:rFonts w:ascii="Times" w:eastAsia="Times New Roman" w:hAnsi="Times" w:cs="Times New Roman"/>
                <w:b/>
                <w:bCs/>
                <w:sz w:val="20"/>
                <w:szCs w:val="20"/>
              </w:rPr>
            </w:pPr>
            <w:r w:rsidRPr="00541FB3">
              <w:rPr>
                <w:rFonts w:ascii="Times" w:eastAsia="Times New Roman" w:hAnsi="Times" w:cs="Times New Roman"/>
                <w:b/>
                <w:bCs/>
                <w:sz w:val="20"/>
                <w:szCs w:val="20"/>
              </w:rPr>
              <w:t>Cumulative:</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sz w:val="20"/>
                <w:szCs w:val="20"/>
              </w:rPr>
              <w:t>19,852,872</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sz w:val="20"/>
                <w:szCs w:val="20"/>
              </w:rPr>
              <w:t>15,954,504</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sz w:val="20"/>
                <w:szCs w:val="20"/>
              </w:rPr>
              <w:t>15,658,993</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color w:val="FF0000"/>
                <w:sz w:val="20"/>
                <w:szCs w:val="20"/>
              </w:rPr>
              <w:t>-3,898,368</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color w:val="FF0000"/>
                <w:sz w:val="20"/>
                <w:szCs w:val="20"/>
              </w:rPr>
              <w:t>-20%</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color w:val="FF0000"/>
                <w:sz w:val="20"/>
                <w:szCs w:val="20"/>
              </w:rPr>
              <w:t>295,511</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color w:val="000000"/>
                <w:sz w:val="20"/>
                <w:szCs w:val="20"/>
              </w:rPr>
              <w:t>2%</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sz w:val="20"/>
                <w:szCs w:val="20"/>
              </w:rPr>
              <w:t>0.80</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sz w:val="20"/>
                <w:szCs w:val="20"/>
              </w:rPr>
              <w:t>1.02</w:t>
            </w:r>
          </w:p>
        </w:tc>
      </w:tr>
      <w:tr w:rsidR="00541FB3" w:rsidRPr="00541FB3" w:rsidTr="00541FB3">
        <w:trPr>
          <w:trHeight w:val="249"/>
          <w:tblCellSpacing w:w="100" w:type="dxa"/>
        </w:trPr>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jc w:val="right"/>
              <w:rPr>
                <w:rFonts w:ascii="Times" w:eastAsia="Times New Roman" w:hAnsi="Times" w:cs="Times New Roman"/>
                <w:b/>
                <w:bCs/>
                <w:sz w:val="20"/>
                <w:szCs w:val="20"/>
              </w:rPr>
            </w:pPr>
            <w:r w:rsidRPr="00541FB3">
              <w:rPr>
                <w:rFonts w:ascii="Times" w:eastAsia="Times New Roman" w:hAnsi="Times" w:cs="Times New Roman"/>
                <w:b/>
                <w:bCs/>
                <w:sz w:val="20"/>
                <w:szCs w:val="20"/>
              </w:rPr>
              <w:t>BAC</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r>
      <w:tr w:rsidR="00541FB3" w:rsidRPr="00541FB3" w:rsidTr="00541FB3">
        <w:trPr>
          <w:trHeight w:val="499"/>
          <w:tblCellSpacing w:w="100" w:type="dxa"/>
        </w:trPr>
        <w:tc>
          <w:tcPr>
            <w:tcW w:w="0" w:type="auto"/>
            <w:vAlign w:val="center"/>
            <w:hideMark/>
          </w:tcPr>
          <w:p w:rsidR="00541FB3" w:rsidRPr="00541FB3" w:rsidRDefault="00541FB3" w:rsidP="00541FB3">
            <w:pPr>
              <w:rPr>
                <w:rFonts w:ascii="Times" w:eastAsia="Times New Roman" w:hAnsi="Times" w:cs="Times New Roman"/>
                <w:b/>
                <w:bCs/>
                <w:sz w:val="20"/>
                <w:szCs w:val="20"/>
              </w:rPr>
            </w:pPr>
            <w:r w:rsidRPr="00541FB3">
              <w:rPr>
                <w:rFonts w:ascii="Times" w:eastAsia="Times New Roman" w:hAnsi="Times" w:cs="Times New Roman"/>
                <w:b/>
                <w:bCs/>
                <w:sz w:val="20"/>
                <w:szCs w:val="20"/>
              </w:rPr>
              <w:t>At Complete:</w:t>
            </w:r>
          </w:p>
        </w:tc>
        <w:tc>
          <w:tcPr>
            <w:tcW w:w="0" w:type="auto"/>
            <w:vAlign w:val="center"/>
            <w:hideMark/>
          </w:tcPr>
          <w:p w:rsidR="00541FB3" w:rsidRPr="00541FB3" w:rsidRDefault="00541FB3" w:rsidP="00541FB3">
            <w:pPr>
              <w:jc w:val="right"/>
              <w:rPr>
                <w:rFonts w:ascii="Times" w:eastAsia="Times New Roman" w:hAnsi="Times" w:cs="Times New Roman"/>
                <w:sz w:val="20"/>
                <w:szCs w:val="20"/>
              </w:rPr>
            </w:pPr>
            <w:r w:rsidRPr="00541FB3">
              <w:rPr>
                <w:rFonts w:ascii="Times" w:eastAsia="Times New Roman" w:hAnsi="Times" w:cs="Times New Roman"/>
                <w:sz w:val="20"/>
                <w:szCs w:val="20"/>
              </w:rPr>
              <w:t>24,853,936</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 </w:t>
            </w:r>
          </w:p>
        </w:tc>
      </w:tr>
    </w:tbl>
    <w:p w:rsidR="00541FB3" w:rsidRPr="00541FB3" w:rsidRDefault="00541FB3" w:rsidP="00541FB3">
      <w:pPr>
        <w:rPr>
          <w:rFonts w:ascii="Times" w:eastAsia="Times New Roman" w:hAnsi="Times" w:cs="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30"/>
      </w:tblGrid>
      <w:tr w:rsidR="00541FB3" w:rsidRPr="00541FB3" w:rsidTr="00541FB3">
        <w:trPr>
          <w:tblCellSpacing w:w="15" w:type="dxa"/>
        </w:trPr>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b/>
                <w:bCs/>
                <w:sz w:val="20"/>
                <w:szCs w:val="20"/>
              </w:rPr>
              <w:t>Threshold(s) Exceeded:</w:t>
            </w:r>
            <w:r w:rsidRPr="00541FB3">
              <w:rPr>
                <w:rFonts w:ascii="Times" w:eastAsia="Times New Roman" w:hAnsi="Times" w:cs="Times New Roman"/>
                <w:sz w:val="20"/>
                <w:szCs w:val="20"/>
              </w:rPr>
              <w:t>  Cumulative Schedule</w:t>
            </w:r>
          </w:p>
        </w:tc>
      </w:tr>
      <w:tr w:rsidR="00541FB3" w:rsidRPr="00541FB3" w:rsidTr="00541FB3">
        <w:trPr>
          <w:tblCellSpacing w:w="15" w:type="dxa"/>
        </w:trPr>
        <w:tc>
          <w:tcPr>
            <w:tcW w:w="0" w:type="auto"/>
            <w:vAlign w:val="center"/>
            <w:hideMark/>
          </w:tcPr>
          <w:p w:rsidR="00541FB3" w:rsidRPr="00541FB3" w:rsidRDefault="00541FB3" w:rsidP="00541FB3">
            <w:pPr>
              <w:rPr>
                <w:rFonts w:ascii="Times" w:eastAsia="Times New Roman" w:hAnsi="Times" w:cs="Times New Roman"/>
                <w:sz w:val="20"/>
                <w:szCs w:val="20"/>
              </w:rPr>
            </w:pPr>
          </w:p>
        </w:tc>
      </w:tr>
      <w:tr w:rsidR="00541FB3" w:rsidRPr="00541FB3" w:rsidTr="00541FB3">
        <w:trPr>
          <w:tblCellSpacing w:w="15" w:type="dxa"/>
        </w:trPr>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b/>
                <w:bCs/>
                <w:sz w:val="20"/>
                <w:szCs w:val="20"/>
              </w:rPr>
              <w:t>Explanation of Variance/Description of Problem:</w:t>
            </w:r>
            <w:r w:rsidRPr="00541FB3">
              <w:rPr>
                <w:rFonts w:ascii="Times" w:eastAsia="Times New Roman" w:hAnsi="Times" w:cs="Times New Roman"/>
                <w:sz w:val="20"/>
                <w:szCs w:val="20"/>
              </w:rPr>
              <w:t xml:space="preserve"> </w:t>
            </w:r>
            <w:r w:rsidRPr="00541FB3">
              <w:rPr>
                <w:rFonts w:ascii="Times" w:eastAsia="Times New Roman" w:hAnsi="Times" w:cs="Times New Roman"/>
                <w:sz w:val="20"/>
                <w:szCs w:val="20"/>
              </w:rPr>
              <w:br/>
              <w:t xml:space="preserve">WBS 1.2.1 TPC Mechanics: One activity, S120100 Production of GEM foils, has an SV of -$64,025, due to late delivery of GEM foils manufactured at CERN. The delay is due to a COVID-related shutdown of the CERN factory and a subsequent four-month delay in GEM foil manufacture. WBS 1.2.2 TPC GEM Modules R1: One activity S125100 TPC R1 </w:t>
            </w:r>
            <w:proofErr w:type="spellStart"/>
            <w:r w:rsidRPr="00541FB3">
              <w:rPr>
                <w:rFonts w:ascii="Times" w:eastAsia="Times New Roman" w:hAnsi="Times" w:cs="Times New Roman"/>
                <w:sz w:val="20"/>
                <w:szCs w:val="20"/>
              </w:rPr>
              <w:t>padplanes</w:t>
            </w:r>
            <w:proofErr w:type="spellEnd"/>
            <w:r w:rsidRPr="00541FB3">
              <w:rPr>
                <w:rFonts w:ascii="Times" w:eastAsia="Times New Roman" w:hAnsi="Times" w:cs="Times New Roman"/>
                <w:sz w:val="20"/>
                <w:szCs w:val="20"/>
              </w:rPr>
              <w:t xml:space="preserve"> is not complete, with an SV of -$50,113. This in turn delays two successor activities, S125500 TPC R1 modules build, with SV = -$32,820 and S125600 TPC R1 Modules test, with SV = -$27,806. The total SV resulting is -$110,739. The layout of the R1 </w:t>
            </w:r>
            <w:proofErr w:type="spellStart"/>
            <w:r w:rsidRPr="00541FB3">
              <w:rPr>
                <w:rFonts w:ascii="Times" w:eastAsia="Times New Roman" w:hAnsi="Times" w:cs="Times New Roman"/>
                <w:sz w:val="20"/>
                <w:szCs w:val="20"/>
              </w:rPr>
              <w:t>padplane</w:t>
            </w:r>
            <w:proofErr w:type="spellEnd"/>
            <w:r w:rsidRPr="00541FB3">
              <w:rPr>
                <w:rFonts w:ascii="Times" w:eastAsia="Times New Roman" w:hAnsi="Times" w:cs="Times New Roman"/>
                <w:sz w:val="20"/>
                <w:szCs w:val="20"/>
              </w:rPr>
              <w:t xml:space="preserve">, the smallest of the three types, was hampered by signal trace routing issues which did not conform to design rules required by the printed-circuit board manufacturer. WBS 1.2.5 TPC Front End Electronics: There are five activities with significant SV. They are: activity S136500 TPC FEE Cooling System, SV = -$69,821, activity S141500 TPC FEE Production components (optical transceivers), SV =-$34,429, activity S141800 TPC FEE Production Components, SV = -$61,910, activity S142500 TPC FEE Low Voltage Power system, SV = -$205,153, and activity S143250, TPC FEE components, SV = -$42,033. The net SV is -$413,346. WBS 1.2.6 TPC Data Aggregator Modules: Three activities contribute to the SV: activity S147300 FELIX 2.0 production board, SV = $30,262, activity S147370 FELIX 2.0 board optical components, SV =-$93,719, and activity S138400 EBDC computers and peripherals, SV =-$244,769. WBS 1.2.7 TPC Support Systems: There are three areas of effort. The TPC Lasers delivery has started but only the first articles have been delivered, SV =-$202,339. The TPC Gas System has procured and received 25% of the components but still needs to place requisitions for the balance, SV =-$97,008. The TPC Cooling system has not procured the high value elements including the chiller/re-circulator, SV =-$73,653. The total SV for these key items is -$372,999. WBS 1.3.1 EMCal Blocks: There are four main items causing the SV. The S171800 Epoxy is only 48% complete, SV =-$23,148. Molds S172500 and fiber assemblies S172800 are behind schedule, SV =-$26,808. The S174000-S175500 Blocks for Sectors 26-41 are not complete, SV =-$82,280, nor is their shipping to BNL, SV =-$27,849. The total SV for these items is -$160,085. WBS 1.3.2 EMCal Modules and Sectors: The S187400 Production Light Guide contract is only 40% complete, SV = -$144,077. The S195400 Mechanical parts for Final Sectors are only 75% complete, SV = $72,937. The S196100 Cooling System for Final Sectors was only 25% complete, SV = -$61,713. The total of these SVs is -$278,727. WBS 1.4.2 Outer HCal Mechanics: The S205100 Splice Plates are only 21% delivered, SV = -$239,626. WBS 1.4.4 Outer HCal Sector Assembly and Testing: The S209800 – S210200 assembly and testing of the production Outer HCal Sectors was nearly 2/3 complete and ahead of schedule, SV = $57,490. WBS 1.5.2 Calorimeter Front End Electronics: Seven separate activities contribute substantially to this SV. They are: activity S227605 EMCal SiPM </w:t>
            </w:r>
            <w:proofErr w:type="spellStart"/>
            <w:r w:rsidRPr="00541FB3">
              <w:rPr>
                <w:rFonts w:ascii="Times" w:eastAsia="Times New Roman" w:hAnsi="Times" w:cs="Times New Roman"/>
                <w:sz w:val="20"/>
                <w:szCs w:val="20"/>
              </w:rPr>
              <w:t>daughterboards</w:t>
            </w:r>
            <w:proofErr w:type="spellEnd"/>
            <w:r w:rsidRPr="00541FB3">
              <w:rPr>
                <w:rFonts w:ascii="Times" w:eastAsia="Times New Roman" w:hAnsi="Times" w:cs="Times New Roman"/>
                <w:sz w:val="20"/>
                <w:szCs w:val="20"/>
              </w:rPr>
              <w:t xml:space="preserve"> part 2, SV = -$18,565, activity S229300 EMCal preamplifiers only 6% delivered, SV = -$516,664, activity S231800 EMCal internal cables are only 65% complete, SV = -$100,868, activity S233250 EMCal trunk signal cables are not </w:t>
            </w:r>
            <w:r w:rsidRPr="00541FB3">
              <w:rPr>
                <w:rFonts w:ascii="Times" w:eastAsia="Times New Roman" w:hAnsi="Times" w:cs="Times New Roman"/>
                <w:sz w:val="20"/>
                <w:szCs w:val="20"/>
              </w:rPr>
              <w:lastRenderedPageBreak/>
              <w:t xml:space="preserve">complete, SV = -$277,801, activity S234100 EMCal LV power system sectors 13-64 only 20% complete, SV =-$31,416, activity S244400 HCal External cables are only 30% complete, SV = -$71,358, and activity S244450 HCal trunk signal cables not complete, SV =-$53,325. The total SV for these activities is -$1,069,997. WBS 1.5.3 Calorimeter Digitizers: There are two activities contributing to this SV. One is S252700 Digitizer Parts, SV = -$678,538 and the other is S252800 Digitizer Boards, SV = - $149,785. WBS 1.6.1 Data Acquisition: Three activities have been completed ahead of schedule, resulting in a positive SV = $203,950. These activities are S257600 Sub-Event-Buffer board production, SV = $47,634, S258400 Assembly and Trigger Processor board production, SV = $113,823, and finally S259500 Buffer Box procurement, SV = $41,513. WBS 1.6.2 Local Level-1 Trigger: Activity, S263600 Preproduction Local Level-1 trigger, is not complete, resulting in SV = -$69,641. WBS 1.6.3 Global Level-1 Trigger: Activity S267600 Production of final GL1 is not complete, SV =-$32,673. WBS 1.6.4 Timing System: Activity S270300 Production of Timing System is not complete, SV =-$48,284. WBS 1.7 Min Bias Trigger Detector: Activity S273500 Min/Bias production digitizers is not complete, SV = -$17,143, and activity S273600 MBD Shaper/Disc Board is not complete, SV = -$53,879, for a total of -$71,022. </w:t>
            </w:r>
          </w:p>
        </w:tc>
      </w:tr>
      <w:tr w:rsidR="00541FB3" w:rsidRPr="00541FB3" w:rsidTr="00541FB3">
        <w:trPr>
          <w:tblCellSpacing w:w="15" w:type="dxa"/>
        </w:trPr>
        <w:tc>
          <w:tcPr>
            <w:tcW w:w="0" w:type="auto"/>
            <w:vAlign w:val="center"/>
            <w:hideMark/>
          </w:tcPr>
          <w:p w:rsidR="00541FB3" w:rsidRPr="00541FB3" w:rsidRDefault="00541FB3" w:rsidP="00541FB3">
            <w:pPr>
              <w:rPr>
                <w:rFonts w:ascii="Times" w:eastAsia="Times New Roman" w:hAnsi="Times" w:cs="Times New Roman"/>
                <w:sz w:val="20"/>
                <w:szCs w:val="20"/>
              </w:rPr>
            </w:pPr>
          </w:p>
        </w:tc>
      </w:tr>
      <w:tr w:rsidR="00541FB3" w:rsidRPr="00541FB3" w:rsidTr="00541FB3">
        <w:trPr>
          <w:tblCellSpacing w:w="15" w:type="dxa"/>
        </w:trPr>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b/>
                <w:bCs/>
                <w:sz w:val="20"/>
                <w:szCs w:val="20"/>
              </w:rPr>
              <w:t>Impact:</w:t>
            </w:r>
            <w:r w:rsidRPr="00541FB3">
              <w:rPr>
                <w:rFonts w:ascii="Times" w:eastAsia="Times New Roman" w:hAnsi="Times" w:cs="Times New Roman"/>
                <w:sz w:val="20"/>
                <w:szCs w:val="20"/>
              </w:rPr>
              <w:t xml:space="preserve"> </w:t>
            </w:r>
            <w:r w:rsidRPr="00541FB3">
              <w:rPr>
                <w:rFonts w:ascii="Times" w:eastAsia="Times New Roman" w:hAnsi="Times" w:cs="Times New Roman"/>
                <w:sz w:val="20"/>
                <w:szCs w:val="20"/>
              </w:rPr>
              <w:br/>
              <w:t xml:space="preserve">WBS 1.2.1 TPC Mechanics: None as yet. All delivered GEM foils, some 58% to date, have been mounted on frames and prepared for assembly into readout modules for the TPC. WBS 1.2.2 TPC GEM Modules R1: None as yet. The rest of R1 module construction is proceeding. Pad planes are to be attached to the modules as a late step in the module assembly sequence. Positive float remains. WBS 1.2.5 TPC Front End Electronics: None as yet. WBS 1.2.6 TPC Data Aggregator Modules: None WBS 1.2.7 TPC Support Systems: These are all items being procured well ahead of their needed installation in order to allow for more time to test them on the bench and adjust settings. WBS 1.3.1 EMCal Blocks: None WBS 1.3.2 EMCal Modules and Sectors: None WBS 1.4.2 Outer HCal Mechanics: None, the initial delivery is complete, ahead of the milestone for the Outer HCal. WBS 1.4.4 Outer HCal Sector Assembly and Testing: None WBS 1.5.2 Calorimeter Front End Electronics: none except for the EMCal preamps, which will be needed by the EMCal sector production line starting in early March. WBS 1.5.3 Calorimeter Digitizers: None presently. The EMCal and OHCal sector production lines have an adequate number of digitizers to perform all needed QA during remaining detector construction. Therefore, the remaining digitizers are only needed by the completion of the MIE </w:t>
            </w:r>
            <w:proofErr w:type="spellStart"/>
            <w:proofErr w:type="gramStart"/>
            <w:r w:rsidRPr="00541FB3">
              <w:rPr>
                <w:rFonts w:ascii="Times" w:eastAsia="Times New Roman" w:hAnsi="Times" w:cs="Times New Roman"/>
                <w:sz w:val="20"/>
                <w:szCs w:val="20"/>
              </w:rPr>
              <w:t>project.WBS</w:t>
            </w:r>
            <w:proofErr w:type="spellEnd"/>
            <w:proofErr w:type="gramEnd"/>
            <w:r w:rsidRPr="00541FB3">
              <w:rPr>
                <w:rFonts w:ascii="Times" w:eastAsia="Times New Roman" w:hAnsi="Times" w:cs="Times New Roman"/>
                <w:sz w:val="20"/>
                <w:szCs w:val="20"/>
              </w:rPr>
              <w:t xml:space="preserve"> 1.6.1 Data Acquisition: None WBS 1.6.2 Local Level-1 Trigger: None WBS 1.6.3 Global Level-1 Trigger: None WBS 1.6.4 Timing System: None WBS 1.7 Min Bias Trigger Detector: None </w:t>
            </w:r>
          </w:p>
        </w:tc>
      </w:tr>
      <w:tr w:rsidR="00541FB3" w:rsidRPr="00541FB3" w:rsidTr="00541FB3">
        <w:trPr>
          <w:tblCellSpacing w:w="15" w:type="dxa"/>
        </w:trPr>
        <w:tc>
          <w:tcPr>
            <w:tcW w:w="0" w:type="auto"/>
            <w:vAlign w:val="center"/>
            <w:hideMark/>
          </w:tcPr>
          <w:p w:rsidR="00541FB3" w:rsidRPr="00541FB3" w:rsidRDefault="00541FB3" w:rsidP="00541FB3">
            <w:pPr>
              <w:rPr>
                <w:rFonts w:ascii="Times" w:eastAsia="Times New Roman" w:hAnsi="Times" w:cs="Times New Roman"/>
                <w:sz w:val="20"/>
                <w:szCs w:val="20"/>
              </w:rPr>
            </w:pPr>
          </w:p>
        </w:tc>
      </w:tr>
      <w:tr w:rsidR="00541FB3" w:rsidRPr="00541FB3" w:rsidTr="00541FB3">
        <w:trPr>
          <w:tblCellSpacing w:w="15" w:type="dxa"/>
        </w:trPr>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b/>
                <w:bCs/>
                <w:sz w:val="20"/>
                <w:szCs w:val="20"/>
              </w:rPr>
              <w:t>Corrective Action:</w:t>
            </w:r>
            <w:r w:rsidRPr="00541FB3">
              <w:rPr>
                <w:rFonts w:ascii="Times" w:eastAsia="Times New Roman" w:hAnsi="Times" w:cs="Times New Roman"/>
                <w:sz w:val="20"/>
                <w:szCs w:val="20"/>
              </w:rPr>
              <w:t xml:space="preserve"> </w:t>
            </w:r>
            <w:r w:rsidRPr="00541FB3">
              <w:rPr>
                <w:rFonts w:ascii="Times" w:eastAsia="Times New Roman" w:hAnsi="Times" w:cs="Times New Roman"/>
                <w:sz w:val="20"/>
                <w:szCs w:val="20"/>
              </w:rPr>
              <w:br/>
              <w:t xml:space="preserve">WBS 1.2.1 TPC Mechanics: The order remains in progress. We are supporting a full-time technician at CERN to speed manufacture of remaining foils. The revised delivery schedule provided by CERN will meet our assembly schedule for the TPC readout modules. WBS 1.2.2 TPC GEM Modules R1: The signal trace routing issue has been resolved, the routing of the board is complete, and the contract for the manufacture of the pad-plane circuit cards has been placed with the same vendor who successfully built all the pad-plane circuit cards for R2 and R3 modules. The vendor has quoted a delivery time compatible with the schedule for R1 module assembly. WBS 1.2.5 TPC Front End Electronics: All the items covered by these activities are being ordered, with one exception, the optical transceivers, which were tested in February for operation in magnetic field. The manufacturer announced in February that it is replacing this part with a newer and less expensive version; the new variant will have to be the one purchased by sPHENIX and thus also will need to be tested in magnetic field, although no issues are expected based on technical input from the manufacturer. The required design and procurement reviews are complete. The cooling system requires a series of machined parts, for which the procurement is placed, and manufacturing is started. The TPC FEE production components are on order. The TPC FEE Low Voltage power supplies are under contract with the vendor scheduling all deliveries over the next two months. The TPC FEE components, mostly the quad transceivers, will be ordered later in the spring because they are added to the assembled boards by hand after the automatic board assembly is complete. WBS 1.2.6 TPC Data Aggregator Modules: The EBDC computer prototype passed all tests. The production order has now been submitted to Procurement and is out for bid. The FELIX production board order is submitted; the components are in hand and thus the activity is 80% complete, and only board preparation and assembly remains. The FELIX optical components are fiber optics and specialized connectors to group and route signals from the TPC FEE cards (WBS 1.2.5) to the FELIX boards. The topology of these connectors must accommodate a board used to reprogram the FEE cards in case of radiation-induced single event upsets (SEUs); the architecture of this board was determined at the beginning of March. This fiber topology thus needs an update, meaning the bill of materials for the fiber optic components must be revised. This revision will be completed in March. WBS 1.2.7 TPC Support Systems: The Preliminary Design reviews are complete and all three of these subsystems have moved to acquiring first articles. Proper operation is to be demonstrated prior to holding the Final Design reviews and the Procurement Readiness reviews, which are planned for March. WBS 1.3.1 EMCal Blocks: The Epoxy must be bought within a few weeks of use, due to shelf-life issues. It is a commodity item and is purchased on an as-needed basis. The delayed Blocks were caused by personnel absences due to the COVID-19 pandemic. Block production resumed over the summer of 2020 and returned to planned production rates in the Fall. This particular SV will persist until about 2 weeks before the Project is complete, at which time Block production will be complete. The Early Completion date for the MIE project was adjusted in January 2021 to reflect this. WBS 1.3.2 EMCal Modules and Sectors: The light guide production was suspended at the vendor until QA and tooling-fixture issues were examined and resolved. These issues were addressed over October-December and production deliveries have resumed at the planned rate and ahead of when they are needed to produce sectors. The light guide vendor has qualified more machine shops supplying him to further improve his delivery rate in the future. The mechanical parts are being delivered somewhat ahead of schedule, with all but the sawteeth/strongback in fact being complete; the sawteeth delivery schedule is about a month ahead of need-by date. </w:t>
            </w:r>
            <w:proofErr w:type="gramStart"/>
            <w:r w:rsidRPr="00541FB3">
              <w:rPr>
                <w:rFonts w:ascii="Times" w:eastAsia="Times New Roman" w:hAnsi="Times" w:cs="Times New Roman"/>
                <w:sz w:val="20"/>
                <w:szCs w:val="20"/>
              </w:rPr>
              <w:t>The cooling system components are being manufactured by a local small company at a pace</w:t>
            </w:r>
            <w:proofErr w:type="gramEnd"/>
            <w:r w:rsidRPr="00541FB3">
              <w:rPr>
                <w:rFonts w:ascii="Times" w:eastAsia="Times New Roman" w:hAnsi="Times" w:cs="Times New Roman"/>
                <w:sz w:val="20"/>
                <w:szCs w:val="20"/>
              </w:rPr>
              <w:t xml:space="preserve"> about 2 months ahead of need-by date. WBS 1.4.2 Outer HCal Mechanics: Continued contact with the vendor. The vendor had to reject some of the initial parts due to an issue of cracks developing in the steel after </w:t>
            </w:r>
            <w:proofErr w:type="gramStart"/>
            <w:r w:rsidRPr="00541FB3">
              <w:rPr>
                <w:rFonts w:ascii="Times" w:eastAsia="Times New Roman" w:hAnsi="Times" w:cs="Times New Roman"/>
                <w:sz w:val="20"/>
                <w:szCs w:val="20"/>
              </w:rPr>
              <w:t>heat treating</w:t>
            </w:r>
            <w:proofErr w:type="gramEnd"/>
            <w:r w:rsidRPr="00541FB3">
              <w:rPr>
                <w:rFonts w:ascii="Times" w:eastAsia="Times New Roman" w:hAnsi="Times" w:cs="Times New Roman"/>
                <w:sz w:val="20"/>
                <w:szCs w:val="20"/>
              </w:rPr>
              <w:t xml:space="preserve"> and subsequent machining. The technique for </w:t>
            </w:r>
            <w:proofErr w:type="gramStart"/>
            <w:r w:rsidRPr="00541FB3">
              <w:rPr>
                <w:rFonts w:ascii="Times" w:eastAsia="Times New Roman" w:hAnsi="Times" w:cs="Times New Roman"/>
                <w:sz w:val="20"/>
                <w:szCs w:val="20"/>
              </w:rPr>
              <w:t>heat treating</w:t>
            </w:r>
            <w:proofErr w:type="gramEnd"/>
            <w:r w:rsidRPr="00541FB3">
              <w:rPr>
                <w:rFonts w:ascii="Times" w:eastAsia="Times New Roman" w:hAnsi="Times" w:cs="Times New Roman"/>
                <w:sz w:val="20"/>
                <w:szCs w:val="20"/>
              </w:rPr>
              <w:t xml:space="preserve"> was changed, a different method of machining the precision holes was selected and employed, and the problem has not recurred. Delivery of first parts occurred in February and delivery of the balance of the contract occurred the first week of March. WBS 1.4.4 Outer HCal Sector Assembly and Testing: None needed, work is ahead of schedule. WBS 1.5.2 Calorimeter Front End Electronics: The contract is placed for the EMCal preamplifiers. The vendor has now delivered a first batch, adequate to instrument more than 3 sectors. The vendor has now obtained all the long-lead-time parts for the main EMCal preamplifier production and will start mass production in March. The vendor for the EMCal internal cables has been delivering them regularly on a schedule well in advance of the need for them during EMCal sector construction. The Procurement readiness review was held in January for the external/trunk cable orders, EMCal and HCal, and procurement documents are being prepared. Potential vendors indicate they can meet the requested delivery schedule for these cables. WBS 1.5.3 Calorimeter Digitizers: The contract for the production digitizers is placed. The vendor indicates they are placing orders for production quantities of all parts but that world-wide supply chains have led to more lead time than foreseen pre-COVID. We continue to monitor the progress by this vendor. WBS 1.6.1 Data Acquisition: None, activities were completed early. WBS 1.6.2 Local Level-1 Trigger: The prototype Local Level-1 trigger board has been under full-speed testing for several months. Results to date indicate it will meet all requirements, completing the above activity. A review held in late February determined that a few small revisions to the board are needed. These revisions are proceeding. The production manufacture is still expected during 2021 based on the existing board assembly house and Bill of Materials. That production will complete this level-3 WBS. WBS 1.6.3 Global Level-1 Trigger: The prototype Global Level-1 Trigger is being used as part of an extended test of electronics for sPHENIX. This test requires multiple front-end cards to operate, respond to triggers and timing signals, and send data to the production DAQ computers correctly over an extended period. This test is planned to last until early March. Assuming a positive outcome, the production Global Level-1 Trigger will be assembled using the existing blueprints. WBS 1.6.4 Timing System: The prototype Timing System is being used as part of an extended test of electronics for sPHENIX. This test requires multiple front-end cards to operate, respond to triggers and timing signals, and send data to the production DAQ computers correctly over an extended period. This test is planned to last until early March. Assuming a positive outcome, the production Timing System will be assembled using the existing blueprints. WBS 1.7 Min Bias Trigger Detector: The digitizers needed for the MBD are part of the larger digitizers order noted above for WBS 1.5.3 A final design review and production readiness review were held for the MBD shaper/discriminator board in February, no required changes were identified, and the board approved for production procurement. This procurement is being placed with the vendor who prepared and tested the prototype versions. Completion by December 2021 is anticipated. </w:t>
            </w:r>
          </w:p>
        </w:tc>
      </w:tr>
    </w:tbl>
    <w:p w:rsidR="00541FB3" w:rsidRPr="00541FB3" w:rsidRDefault="00541FB3" w:rsidP="00541FB3">
      <w:pPr>
        <w:spacing w:after="240"/>
        <w:rPr>
          <w:rFonts w:ascii="Times" w:eastAsia="Times New Roman" w:hAnsi="Times" w:cs="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6"/>
        <w:gridCol w:w="1304"/>
        <w:gridCol w:w="3081"/>
        <w:gridCol w:w="1319"/>
      </w:tblGrid>
      <w:tr w:rsidR="00541FB3" w:rsidRPr="00541FB3" w:rsidTr="00541FB3">
        <w:trPr>
          <w:tblCellSpacing w:w="15" w:type="dxa"/>
        </w:trPr>
        <w:tc>
          <w:tcPr>
            <w:tcW w:w="0" w:type="auto"/>
            <w:vAlign w:val="center"/>
            <w:hideMark/>
          </w:tcPr>
          <w:p w:rsidR="00541FB3" w:rsidRPr="00541FB3" w:rsidRDefault="00541FB3" w:rsidP="00541FB3">
            <w:pPr>
              <w:rPr>
                <w:rFonts w:ascii="Times" w:eastAsia="Times New Roman" w:hAnsi="Times" w:cs="Times New Roman"/>
                <w:b/>
                <w:bCs/>
                <w:sz w:val="20"/>
                <w:szCs w:val="20"/>
              </w:rPr>
            </w:pPr>
            <w:r w:rsidRPr="00541FB3">
              <w:rPr>
                <w:rFonts w:ascii="Times" w:eastAsia="Times New Roman" w:hAnsi="Times" w:cs="Times New Roman"/>
                <w:b/>
                <w:bCs/>
                <w:sz w:val="20"/>
                <w:szCs w:val="20"/>
              </w:rPr>
              <w:t xml:space="preserve">Prepared By: </w:t>
            </w:r>
          </w:p>
        </w:tc>
        <w:tc>
          <w:tcPr>
            <w:tcW w:w="0" w:type="auto"/>
            <w:vAlign w:val="center"/>
            <w:hideMark/>
          </w:tcPr>
          <w:p w:rsidR="00541FB3" w:rsidRPr="00541FB3" w:rsidRDefault="00541FB3" w:rsidP="00541FB3">
            <w:pPr>
              <w:rPr>
                <w:rFonts w:ascii="Times" w:eastAsia="Times New Roman" w:hAnsi="Times" w:cs="Times New Roman"/>
                <w:b/>
                <w:bCs/>
                <w:sz w:val="20"/>
                <w:szCs w:val="20"/>
              </w:rPr>
            </w:pPr>
            <w:r w:rsidRPr="00541FB3">
              <w:rPr>
                <w:rFonts w:ascii="Times" w:eastAsia="Times New Roman" w:hAnsi="Times" w:cs="Times New Roman"/>
                <w:b/>
                <w:bCs/>
                <w:sz w:val="20"/>
                <w:szCs w:val="20"/>
              </w:rPr>
              <w:t xml:space="preserve">Date: </w:t>
            </w:r>
          </w:p>
        </w:tc>
        <w:tc>
          <w:tcPr>
            <w:tcW w:w="0" w:type="auto"/>
            <w:vAlign w:val="center"/>
            <w:hideMark/>
          </w:tcPr>
          <w:p w:rsidR="00541FB3" w:rsidRPr="00541FB3" w:rsidRDefault="00541FB3" w:rsidP="00541FB3">
            <w:pPr>
              <w:rPr>
                <w:rFonts w:ascii="Times" w:eastAsia="Times New Roman" w:hAnsi="Times" w:cs="Times New Roman"/>
                <w:b/>
                <w:bCs/>
                <w:sz w:val="20"/>
                <w:szCs w:val="20"/>
              </w:rPr>
            </w:pPr>
            <w:r w:rsidRPr="00541FB3">
              <w:rPr>
                <w:rFonts w:ascii="Times" w:eastAsia="Times New Roman" w:hAnsi="Times" w:cs="Times New Roman"/>
                <w:b/>
                <w:bCs/>
                <w:sz w:val="20"/>
                <w:szCs w:val="20"/>
              </w:rPr>
              <w:t xml:space="preserve">Approved By: </w:t>
            </w:r>
          </w:p>
        </w:tc>
        <w:tc>
          <w:tcPr>
            <w:tcW w:w="0" w:type="auto"/>
            <w:vAlign w:val="center"/>
            <w:hideMark/>
          </w:tcPr>
          <w:p w:rsidR="00541FB3" w:rsidRPr="00541FB3" w:rsidRDefault="00541FB3" w:rsidP="00541FB3">
            <w:pPr>
              <w:rPr>
                <w:rFonts w:ascii="Times" w:eastAsia="Times New Roman" w:hAnsi="Times" w:cs="Times New Roman"/>
                <w:b/>
                <w:bCs/>
                <w:sz w:val="20"/>
                <w:szCs w:val="20"/>
              </w:rPr>
            </w:pPr>
            <w:r w:rsidRPr="00541FB3">
              <w:rPr>
                <w:rFonts w:ascii="Times" w:eastAsia="Times New Roman" w:hAnsi="Times" w:cs="Times New Roman"/>
                <w:b/>
                <w:bCs/>
                <w:sz w:val="20"/>
                <w:szCs w:val="20"/>
              </w:rPr>
              <w:t xml:space="preserve">Date: </w:t>
            </w:r>
          </w:p>
        </w:tc>
      </w:tr>
      <w:tr w:rsidR="00541FB3" w:rsidRPr="00541FB3" w:rsidTr="00541FB3">
        <w:trPr>
          <w:tblCellSpacing w:w="15" w:type="dxa"/>
        </w:trPr>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Irina Sourikova [22419]</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3/11/2021</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Edward O'Brien [18368]</w:t>
            </w:r>
          </w:p>
        </w:tc>
        <w:tc>
          <w:tcPr>
            <w:tcW w:w="0" w:type="auto"/>
            <w:vAlign w:val="center"/>
            <w:hideMark/>
          </w:tcPr>
          <w:p w:rsidR="00541FB3" w:rsidRPr="00541FB3" w:rsidRDefault="00541FB3" w:rsidP="00541FB3">
            <w:pPr>
              <w:rPr>
                <w:rFonts w:ascii="Times" w:eastAsia="Times New Roman" w:hAnsi="Times" w:cs="Times New Roman"/>
                <w:sz w:val="20"/>
                <w:szCs w:val="20"/>
              </w:rPr>
            </w:pPr>
            <w:r w:rsidRPr="00541FB3">
              <w:rPr>
                <w:rFonts w:ascii="Times" w:eastAsia="Times New Roman" w:hAnsi="Times" w:cs="Times New Roman"/>
                <w:sz w:val="20"/>
                <w:szCs w:val="20"/>
              </w:rPr>
              <w:t>3/17/2021</w:t>
            </w:r>
          </w:p>
        </w:tc>
      </w:tr>
    </w:tbl>
    <w:p w:rsidR="00541FB3" w:rsidRPr="00541FB3" w:rsidRDefault="00541FB3" w:rsidP="00541FB3">
      <w:pPr>
        <w:rPr>
          <w:rFonts w:asciiTheme="majorHAnsi" w:hAnsiTheme="majorHAnsi"/>
          <w:sz w:val="22"/>
          <w:szCs w:val="22"/>
        </w:rPr>
      </w:pPr>
    </w:p>
    <w:sectPr w:rsidR="00541FB3" w:rsidRPr="00541FB3" w:rsidSect="00CF2E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FB3"/>
    <w:rsid w:val="00241743"/>
    <w:rsid w:val="00541FB3"/>
    <w:rsid w:val="00CF2E4A"/>
    <w:rsid w:val="00FD4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16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2196</Words>
  <Characters>12518</Characters>
  <Application>Microsoft Macintosh Word</Application>
  <DocSecurity>0</DocSecurity>
  <Lines>104</Lines>
  <Paragraphs>29</Paragraphs>
  <ScaleCrop>false</ScaleCrop>
  <Company>BNL</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O'Brien</dc:creator>
  <cp:keywords/>
  <dc:description/>
  <cp:lastModifiedBy>Ann O'Brien</cp:lastModifiedBy>
  <cp:revision>2</cp:revision>
  <dcterms:created xsi:type="dcterms:W3CDTF">2021-03-18T03:33:00Z</dcterms:created>
  <dcterms:modified xsi:type="dcterms:W3CDTF">2021-03-18T03:33:00Z</dcterms:modified>
</cp:coreProperties>
</file>